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0AD23F7E" w14:textId="77777777" w:rsidR="00F80C43" w:rsidRDefault="00F80C43">
      <w:pPr>
        <w:spacing w:after="0" w:line="240" w:lineRule="auto"/>
        <w:rPr>
          <w:color w:val="000000"/>
        </w:rPr>
      </w:pPr>
    </w:p>
    <w:p w14:paraId="18579031" w14:textId="6C1EEA73" w:rsidR="00754729" w:rsidRPr="005E1E0E" w:rsidRDefault="00854D7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Southam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 xml:space="preserve">on the </w:t>
      </w:r>
      <w:proofErr w:type="gramStart"/>
      <w:r w:rsidRPr="005E1E0E">
        <w:rPr>
          <w:color w:val="auto"/>
          <w:sz w:val="20"/>
          <w:szCs w:val="20"/>
        </w:rPr>
        <w:t>25th</w:t>
      </w:r>
      <w:proofErr w:type="gramEnd"/>
      <w:r w:rsidRPr="005E1E0E">
        <w:rPr>
          <w:color w:val="auto"/>
          <w:sz w:val="20"/>
          <w:szCs w:val="20"/>
        </w:rPr>
        <w:t xml:space="preserve">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CE0EFFC"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854D7C">
        <w:rPr>
          <w:rFonts w:ascii="Arial" w:hAnsi="Arial" w:cs="Arial"/>
          <w:sz w:val="20"/>
          <w:szCs w:val="20"/>
        </w:rPr>
        <w:t>The Southam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EBB8D8D" w:rsidR="00E37206" w:rsidRPr="005E1E0E" w:rsidRDefault="00854D7C" w:rsidP="00E37206">
      <w:pPr>
        <w:widowControl w:val="0"/>
        <w:spacing w:after="280"/>
        <w:rPr>
          <w:rFonts w:ascii="Arial" w:hAnsi="Arial" w:cs="Arial"/>
          <w:sz w:val="20"/>
          <w:szCs w:val="20"/>
        </w:rPr>
      </w:pPr>
      <w:r>
        <w:rPr>
          <w:rFonts w:ascii="Arial" w:hAnsi="Arial" w:cs="Arial"/>
          <w:sz w:val="20"/>
          <w:szCs w:val="20"/>
        </w:rPr>
        <w:t>The Southam Surgery</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54D7C"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AC5355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54D7C">
        <w:rPr>
          <w:rFonts w:ascii="Arial" w:hAnsi="Arial" w:cs="Arial"/>
          <w:sz w:val="20"/>
          <w:szCs w:val="20"/>
        </w:rPr>
        <w:t>The Southam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the Department of Health and Social Care and its executive agencies, including Public Health England and other government </w:t>
      </w:r>
      <w:proofErr w:type="gramStart"/>
      <w:r w:rsidRPr="004E2C36">
        <w:rPr>
          <w:rFonts w:ascii="Arial" w:hAnsi="Arial" w:cs="Arial"/>
          <w:sz w:val="20"/>
          <w:szCs w:val="20"/>
        </w:rPr>
        <w:t>departments</w:t>
      </w:r>
      <w:proofErr w:type="gramEnd"/>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16BD71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54D7C">
        <w:rPr>
          <w:rFonts w:ascii="Arial" w:hAnsi="Arial" w:cs="Arial"/>
          <w:sz w:val="20"/>
          <w:szCs w:val="20"/>
        </w:rPr>
        <w:t>The Southam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54D7C"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4D7C"/>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8015</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2</cp:revision>
  <cp:lastPrinted>2019-06-13T09:46:00Z</cp:lastPrinted>
  <dcterms:created xsi:type="dcterms:W3CDTF">2021-06-09T20:01:00Z</dcterms:created>
  <dcterms:modified xsi:type="dcterms:W3CDTF">2021-06-09T20:01:00Z</dcterms:modified>
</cp:coreProperties>
</file>